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560" w:lineRule="exact"/>
        <w:ind w:firstLine="640"/>
        <w:rPr>
          <w:rFonts w:ascii="黑体" w:hAnsi="黑体" w:eastAsia="黑体" w:cs="方正小标宋简体"/>
          <w:color w:val="auto"/>
          <w:sz w:val="44"/>
          <w:szCs w:val="44"/>
        </w:rPr>
      </w:pPr>
      <w:r>
        <w:rPr>
          <w:rFonts w:hint="eastAsia" w:ascii="黑体" w:hAnsi="黑体" w:eastAsia="黑体" w:cs="方正小标宋简体"/>
          <w:color w:val="auto"/>
          <w:sz w:val="32"/>
          <w:szCs w:val="32"/>
        </w:rPr>
        <w:t xml:space="preserve">【以案说法】第一期 </w:t>
      </w:r>
    </w:p>
    <w:p>
      <w:pPr>
        <w:spacing w:beforeLines="0" w:afterLines="0" w:line="560" w:lineRule="exact"/>
        <w:ind w:firstLine="880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spacing w:beforeLines="0" w:afterLines="0" w:line="560" w:lineRule="exact"/>
        <w:ind w:firstLine="880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远离非法期货 谨防上当受骗</w:t>
      </w:r>
    </w:p>
    <w:p>
      <w:pPr>
        <w:spacing w:beforeLines="0" w:afterLines="0" w:line="560" w:lineRule="exact"/>
        <w:ind w:firstLine="880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spacing w:beforeLines="0" w:afterLines="0" w:line="560" w:lineRule="exact"/>
        <w:ind w:firstLine="643"/>
        <w:jc w:val="left"/>
        <w:rPr>
          <w:rFonts w:ascii="仿宋" w:hAnsi="仿宋" w:eastAsia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一、案件还原</w:t>
      </w:r>
    </w:p>
    <w:p>
      <w:pPr>
        <w:spacing w:beforeLines="0" w:afterLines="0" w:line="560" w:lineRule="exact"/>
        <w:ind w:firstLine="640"/>
        <w:rPr>
          <w:rFonts w:ascii="仿宋" w:hAnsi="仿宋" w:eastAsia="仿宋"/>
          <w:color w:val="auto"/>
          <w:sz w:val="32"/>
          <w:szCs w:val="32"/>
        </w:rPr>
      </w:pPr>
      <w:r>
        <w:rPr>
          <w:rFonts w:ascii="仿宋" w:hAnsi="仿宋" w:eastAsia="仿宋"/>
          <w:color w:val="auto"/>
          <w:sz w:val="32"/>
          <w:szCs w:val="32"/>
        </w:rPr>
        <w:t>2014年5月4日至2016年3月28日，刘</w:t>
      </w:r>
      <w:r>
        <w:rPr>
          <w:rFonts w:hint="eastAsia" w:ascii="仿宋" w:hAnsi="仿宋" w:eastAsia="仿宋"/>
          <w:color w:val="auto"/>
          <w:sz w:val="32"/>
          <w:szCs w:val="32"/>
        </w:rPr>
        <w:t>某</w:t>
      </w:r>
      <w:r>
        <w:rPr>
          <w:rFonts w:ascii="仿宋" w:hAnsi="仿宋" w:eastAsia="仿宋"/>
          <w:color w:val="auto"/>
          <w:sz w:val="32"/>
          <w:szCs w:val="32"/>
        </w:rPr>
        <w:t>伙同</w:t>
      </w:r>
      <w:r>
        <w:rPr>
          <w:rFonts w:hint="eastAsia" w:ascii="仿宋" w:hAnsi="仿宋" w:eastAsia="仿宋"/>
          <w:color w:val="auto"/>
          <w:sz w:val="32"/>
          <w:szCs w:val="32"/>
        </w:rPr>
        <w:t>赵某</w:t>
      </w:r>
      <w:r>
        <w:rPr>
          <w:rFonts w:ascii="仿宋" w:hAnsi="仿宋" w:eastAsia="仿宋"/>
          <w:color w:val="auto"/>
          <w:sz w:val="32"/>
          <w:szCs w:val="32"/>
        </w:rPr>
        <w:t>，以北京</w:t>
      </w:r>
      <w:r>
        <w:rPr>
          <w:rFonts w:hint="eastAsia" w:ascii="仿宋" w:hAnsi="仿宋" w:eastAsia="仿宋"/>
          <w:color w:val="auto"/>
          <w:sz w:val="32"/>
          <w:szCs w:val="32"/>
        </w:rPr>
        <w:t>某</w:t>
      </w:r>
      <w:r>
        <w:rPr>
          <w:rFonts w:ascii="仿宋" w:hAnsi="仿宋" w:eastAsia="仿宋"/>
          <w:color w:val="auto"/>
          <w:sz w:val="32"/>
          <w:szCs w:val="32"/>
        </w:rPr>
        <w:t>资产管理有限公司的名义，对外虚构贵金属现货、期货及股票交易等业务，以承诺投资可获取高额回报为诱饵，吸引社会不特定公众进行投资，</w:t>
      </w:r>
      <w:r>
        <w:rPr>
          <w:rFonts w:hint="eastAsia" w:ascii="仿宋" w:hAnsi="仿宋" w:eastAsia="仿宋"/>
          <w:color w:val="auto"/>
          <w:sz w:val="32"/>
          <w:szCs w:val="32"/>
        </w:rPr>
        <w:t>先后骗取</w:t>
      </w:r>
      <w:r>
        <w:rPr>
          <w:rFonts w:ascii="仿宋" w:hAnsi="仿宋" w:eastAsia="仿宋"/>
          <w:color w:val="auto"/>
          <w:sz w:val="32"/>
          <w:szCs w:val="32"/>
        </w:rPr>
        <w:t>82名被害人投资款共计人民币1.8亿余元</w:t>
      </w:r>
      <w:r>
        <w:rPr>
          <w:rFonts w:hint="eastAsia" w:ascii="仿宋" w:hAnsi="仿宋" w:eastAsia="仿宋"/>
          <w:color w:val="auto"/>
          <w:sz w:val="32"/>
          <w:szCs w:val="32"/>
        </w:rPr>
        <w:t>，其中骗取被害人陈某投资款共计人民币</w:t>
      </w:r>
      <w:r>
        <w:rPr>
          <w:rFonts w:ascii="仿宋" w:hAnsi="仿宋" w:eastAsia="仿宋"/>
          <w:color w:val="auto"/>
          <w:sz w:val="32"/>
          <w:szCs w:val="32"/>
        </w:rPr>
        <w:t>3961197元。</w:t>
      </w:r>
    </w:p>
    <w:p>
      <w:pPr>
        <w:spacing w:beforeLines="0" w:afterLines="0" w:line="560" w:lineRule="exact"/>
        <w:ind w:firstLine="64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本案中，</w:t>
      </w:r>
      <w:r>
        <w:rPr>
          <w:rFonts w:ascii="仿宋" w:hAnsi="仿宋" w:eastAsia="仿宋"/>
          <w:color w:val="auto"/>
          <w:sz w:val="32"/>
          <w:szCs w:val="32"/>
        </w:rPr>
        <w:t>北京</w:t>
      </w:r>
      <w:r>
        <w:rPr>
          <w:rFonts w:hint="eastAsia" w:ascii="仿宋" w:hAnsi="仿宋" w:eastAsia="仿宋"/>
          <w:color w:val="auto"/>
          <w:sz w:val="32"/>
          <w:szCs w:val="32"/>
        </w:rPr>
        <w:t>某</w:t>
      </w:r>
      <w:r>
        <w:rPr>
          <w:rFonts w:ascii="仿宋" w:hAnsi="仿宋" w:eastAsia="仿宋"/>
          <w:color w:val="auto"/>
          <w:sz w:val="32"/>
          <w:szCs w:val="32"/>
        </w:rPr>
        <w:t>资产管理有限公司</w:t>
      </w:r>
      <w:r>
        <w:rPr>
          <w:rFonts w:hint="eastAsia" w:ascii="仿宋" w:hAnsi="仿宋" w:eastAsia="仿宋"/>
          <w:color w:val="auto"/>
          <w:sz w:val="32"/>
          <w:szCs w:val="32"/>
        </w:rPr>
        <w:t>对外宣称主要从事私募基金、贵金属现货、股指期货等交易。刘某负责发展客户、收取投资款并进行返利，赵某向部分被害人、投资人谎称自己具体负责黄金期货等投资交易的操盘，能够确保资金安全。</w:t>
      </w:r>
      <w:r>
        <w:rPr>
          <w:rFonts w:ascii="仿宋" w:hAnsi="仿宋" w:eastAsia="仿宋"/>
          <w:color w:val="auto"/>
          <w:sz w:val="32"/>
          <w:szCs w:val="32"/>
        </w:rPr>
        <w:t>刘</w:t>
      </w:r>
      <w:r>
        <w:rPr>
          <w:rFonts w:hint="eastAsia" w:ascii="仿宋" w:hAnsi="仿宋" w:eastAsia="仿宋"/>
          <w:color w:val="auto"/>
          <w:sz w:val="32"/>
          <w:szCs w:val="32"/>
        </w:rPr>
        <w:t>某</w:t>
      </w:r>
      <w:r>
        <w:rPr>
          <w:rFonts w:ascii="仿宋" w:hAnsi="仿宋" w:eastAsia="仿宋"/>
          <w:color w:val="auto"/>
          <w:sz w:val="32"/>
          <w:szCs w:val="32"/>
        </w:rPr>
        <w:t>伙同</w:t>
      </w:r>
      <w:r>
        <w:rPr>
          <w:rFonts w:hint="eastAsia" w:ascii="仿宋" w:hAnsi="仿宋" w:eastAsia="仿宋"/>
          <w:color w:val="auto"/>
          <w:sz w:val="32"/>
          <w:szCs w:val="32"/>
        </w:rPr>
        <w:t>赵某以该公司的名义，通过与被害人签订《投资管理委托协议书》等协议的方式，由被害人</w:t>
      </w:r>
      <w:r>
        <w:rPr>
          <w:rFonts w:ascii="仿宋" w:hAnsi="仿宋" w:eastAsia="仿宋"/>
          <w:color w:val="auto"/>
          <w:sz w:val="32"/>
          <w:szCs w:val="32"/>
        </w:rPr>
        <w:t>委托</w:t>
      </w:r>
      <w:r>
        <w:rPr>
          <w:rFonts w:hint="eastAsia" w:ascii="仿宋" w:hAnsi="仿宋" w:eastAsia="仿宋"/>
          <w:color w:val="auto"/>
          <w:sz w:val="32"/>
          <w:szCs w:val="32"/>
        </w:rPr>
        <w:t>该公司</w:t>
      </w:r>
      <w:r>
        <w:rPr>
          <w:rFonts w:ascii="仿宋" w:hAnsi="仿宋" w:eastAsia="仿宋"/>
          <w:color w:val="auto"/>
          <w:sz w:val="32"/>
          <w:szCs w:val="32"/>
        </w:rPr>
        <w:t>进行</w:t>
      </w:r>
      <w:r>
        <w:rPr>
          <w:rFonts w:hint="eastAsia" w:ascii="仿宋" w:hAnsi="仿宋" w:eastAsia="仿宋"/>
          <w:color w:val="auto"/>
          <w:sz w:val="32"/>
          <w:szCs w:val="32"/>
        </w:rPr>
        <w:t>所谓的</w:t>
      </w:r>
      <w:r>
        <w:rPr>
          <w:rFonts w:ascii="仿宋" w:hAnsi="仿宋" w:eastAsia="仿宋"/>
          <w:color w:val="auto"/>
          <w:sz w:val="32"/>
          <w:szCs w:val="32"/>
        </w:rPr>
        <w:t>贵金属现货、期货及股票交易；</w:t>
      </w:r>
      <w:r>
        <w:rPr>
          <w:rFonts w:hint="eastAsia" w:ascii="仿宋" w:hAnsi="仿宋" w:eastAsia="仿宋"/>
          <w:color w:val="auto"/>
          <w:sz w:val="32"/>
          <w:szCs w:val="32"/>
        </w:rPr>
        <w:t>该公司</w:t>
      </w:r>
      <w:r>
        <w:rPr>
          <w:rFonts w:ascii="仿宋" w:hAnsi="仿宋" w:eastAsia="仿宋"/>
          <w:color w:val="auto"/>
          <w:sz w:val="32"/>
          <w:szCs w:val="32"/>
        </w:rPr>
        <w:t>对</w:t>
      </w:r>
      <w:r>
        <w:rPr>
          <w:rFonts w:hint="eastAsia" w:ascii="仿宋" w:hAnsi="仿宋" w:eastAsia="仿宋"/>
          <w:color w:val="auto"/>
          <w:sz w:val="32"/>
          <w:szCs w:val="32"/>
        </w:rPr>
        <w:t>被害人</w:t>
      </w:r>
      <w:r>
        <w:rPr>
          <w:rFonts w:ascii="仿宋" w:hAnsi="仿宋" w:eastAsia="仿宋"/>
          <w:color w:val="auto"/>
          <w:sz w:val="32"/>
          <w:szCs w:val="32"/>
        </w:rPr>
        <w:t>投入资金进行全封闭独立操作，</w:t>
      </w:r>
      <w:r>
        <w:rPr>
          <w:rFonts w:hint="eastAsia" w:ascii="仿宋" w:hAnsi="仿宋" w:eastAsia="仿宋"/>
          <w:color w:val="auto"/>
          <w:sz w:val="32"/>
          <w:szCs w:val="32"/>
        </w:rPr>
        <w:t>被害人</w:t>
      </w:r>
      <w:r>
        <w:rPr>
          <w:rFonts w:ascii="仿宋" w:hAnsi="仿宋" w:eastAsia="仿宋"/>
          <w:color w:val="auto"/>
          <w:sz w:val="32"/>
          <w:szCs w:val="32"/>
        </w:rPr>
        <w:t>不得干预</w:t>
      </w:r>
      <w:r>
        <w:rPr>
          <w:rFonts w:hint="eastAsia" w:ascii="仿宋" w:hAnsi="仿宋" w:eastAsia="仿宋"/>
          <w:color w:val="auto"/>
          <w:sz w:val="32"/>
          <w:szCs w:val="32"/>
        </w:rPr>
        <w:t>该公司</w:t>
      </w:r>
      <w:r>
        <w:rPr>
          <w:rFonts w:ascii="仿宋" w:hAnsi="仿宋" w:eastAsia="仿宋"/>
          <w:color w:val="auto"/>
          <w:sz w:val="32"/>
          <w:szCs w:val="32"/>
        </w:rPr>
        <w:t>独立操作</w:t>
      </w:r>
      <w:r>
        <w:rPr>
          <w:rFonts w:hint="eastAsia" w:ascii="仿宋" w:hAnsi="仿宋" w:eastAsia="仿宋"/>
          <w:color w:val="auto"/>
          <w:sz w:val="32"/>
          <w:szCs w:val="32"/>
        </w:rPr>
        <w:t>，并</w:t>
      </w:r>
      <w:r>
        <w:rPr>
          <w:rFonts w:ascii="仿宋" w:hAnsi="仿宋" w:eastAsia="仿宋"/>
          <w:color w:val="auto"/>
          <w:sz w:val="32"/>
          <w:szCs w:val="32"/>
        </w:rPr>
        <w:t>承诺</w:t>
      </w:r>
      <w:r>
        <w:rPr>
          <w:rFonts w:hint="eastAsia" w:ascii="仿宋" w:hAnsi="仿宋" w:eastAsia="仿宋"/>
          <w:color w:val="auto"/>
          <w:sz w:val="32"/>
          <w:szCs w:val="32"/>
        </w:rPr>
        <w:t>一定期限</w:t>
      </w:r>
      <w:r>
        <w:rPr>
          <w:rFonts w:ascii="仿宋" w:hAnsi="仿宋" w:eastAsia="仿宋"/>
          <w:color w:val="auto"/>
          <w:sz w:val="32"/>
          <w:szCs w:val="32"/>
        </w:rPr>
        <w:t>后返还</w:t>
      </w:r>
      <w:r>
        <w:rPr>
          <w:rFonts w:hint="eastAsia" w:ascii="仿宋" w:hAnsi="仿宋" w:eastAsia="仿宋"/>
          <w:color w:val="auto"/>
          <w:sz w:val="32"/>
          <w:szCs w:val="32"/>
        </w:rPr>
        <w:t>被害人</w:t>
      </w:r>
      <w:r>
        <w:rPr>
          <w:rFonts w:ascii="仿宋" w:hAnsi="仿宋" w:eastAsia="仿宋"/>
          <w:color w:val="auto"/>
          <w:sz w:val="32"/>
          <w:szCs w:val="32"/>
        </w:rPr>
        <w:t>全部投资本金，投资盈利</w:t>
      </w:r>
      <w:r>
        <w:rPr>
          <w:rFonts w:hint="eastAsia" w:ascii="仿宋" w:hAnsi="仿宋" w:eastAsia="仿宋"/>
          <w:color w:val="auto"/>
          <w:sz w:val="32"/>
          <w:szCs w:val="32"/>
        </w:rPr>
        <w:t>按照</w:t>
      </w:r>
      <w:r>
        <w:rPr>
          <w:rFonts w:ascii="仿宋" w:hAnsi="仿宋" w:eastAsia="仿宋"/>
          <w:color w:val="auto"/>
          <w:sz w:val="32"/>
          <w:szCs w:val="32"/>
        </w:rPr>
        <w:t>比例分配</w:t>
      </w:r>
      <w:r>
        <w:rPr>
          <w:rFonts w:hint="eastAsia" w:ascii="仿宋" w:hAnsi="仿宋" w:eastAsia="仿宋"/>
          <w:color w:val="auto"/>
          <w:sz w:val="32"/>
          <w:szCs w:val="32"/>
        </w:rPr>
        <w:t>，如盈利未达投资本金的</w:t>
      </w:r>
      <w:r>
        <w:rPr>
          <w:rFonts w:ascii="仿宋" w:hAnsi="仿宋" w:eastAsia="仿宋"/>
          <w:color w:val="auto"/>
          <w:sz w:val="32"/>
          <w:szCs w:val="32"/>
        </w:rPr>
        <w:t>50%，差额部分由</w:t>
      </w:r>
      <w:r>
        <w:rPr>
          <w:rFonts w:hint="eastAsia" w:ascii="仿宋" w:hAnsi="仿宋" w:eastAsia="仿宋"/>
          <w:color w:val="auto"/>
          <w:sz w:val="32"/>
          <w:szCs w:val="32"/>
        </w:rPr>
        <w:t>该公司</w:t>
      </w:r>
      <w:r>
        <w:rPr>
          <w:rFonts w:ascii="仿宋" w:hAnsi="仿宋" w:eastAsia="仿宋"/>
          <w:color w:val="auto"/>
          <w:sz w:val="32"/>
          <w:szCs w:val="32"/>
        </w:rPr>
        <w:t>补齐支付</w:t>
      </w:r>
      <w:r>
        <w:rPr>
          <w:rFonts w:hint="eastAsia" w:ascii="仿宋" w:hAnsi="仿宋" w:eastAsia="仿宋"/>
          <w:color w:val="auto"/>
          <w:sz w:val="32"/>
          <w:szCs w:val="32"/>
        </w:rPr>
        <w:t>。被害人通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过</w:t>
      </w:r>
      <w:bookmarkStart w:id="0" w:name="_GoBack"/>
      <w:bookmarkEnd w:id="0"/>
      <w:r>
        <w:rPr>
          <w:rFonts w:hint="eastAsia" w:ascii="仿宋" w:hAnsi="仿宋" w:eastAsia="仿宋"/>
          <w:color w:val="auto"/>
          <w:sz w:val="32"/>
          <w:szCs w:val="32"/>
        </w:rPr>
        <w:t>以银行转账等方式，向刘某个人银行账户支付投资款，刘某及赵某将各自分得的赃款用于个人消费等支出，最终造成被害人巨额经济损失无法偿还。法院经审理认为，刘某及赵某</w:t>
      </w:r>
      <w:r>
        <w:rPr>
          <w:rFonts w:ascii="仿宋" w:hAnsi="仿宋" w:eastAsia="仿宋"/>
          <w:color w:val="auto"/>
          <w:sz w:val="32"/>
          <w:szCs w:val="32"/>
        </w:rPr>
        <w:t>以非法占有为目的，</w:t>
      </w:r>
      <w:r>
        <w:rPr>
          <w:rFonts w:hint="eastAsia" w:ascii="仿宋" w:hAnsi="仿宋" w:eastAsia="仿宋"/>
          <w:color w:val="auto"/>
          <w:sz w:val="32"/>
          <w:szCs w:val="32"/>
        </w:rPr>
        <w:t>以</w:t>
      </w:r>
      <w:r>
        <w:rPr>
          <w:rFonts w:ascii="仿宋" w:hAnsi="仿宋" w:eastAsia="仿宋"/>
          <w:color w:val="auto"/>
          <w:sz w:val="32"/>
          <w:szCs w:val="32"/>
        </w:rPr>
        <w:t>北京</w:t>
      </w:r>
      <w:r>
        <w:rPr>
          <w:rFonts w:hint="eastAsia" w:ascii="仿宋" w:hAnsi="仿宋" w:eastAsia="仿宋"/>
          <w:color w:val="auto"/>
          <w:sz w:val="32"/>
          <w:szCs w:val="32"/>
        </w:rPr>
        <w:t>某</w:t>
      </w:r>
      <w:r>
        <w:rPr>
          <w:rFonts w:ascii="仿宋" w:hAnsi="仿宋" w:eastAsia="仿宋"/>
          <w:color w:val="auto"/>
          <w:sz w:val="32"/>
          <w:szCs w:val="32"/>
        </w:rPr>
        <w:t>资产管理有限公司</w:t>
      </w:r>
      <w:r>
        <w:rPr>
          <w:rFonts w:hint="eastAsia" w:ascii="仿宋" w:hAnsi="仿宋" w:eastAsia="仿宋"/>
          <w:color w:val="auto"/>
          <w:sz w:val="32"/>
          <w:szCs w:val="32"/>
        </w:rPr>
        <w:t>名义</w:t>
      </w:r>
      <w:r>
        <w:rPr>
          <w:rFonts w:ascii="仿宋" w:hAnsi="仿宋" w:eastAsia="仿宋"/>
          <w:color w:val="auto"/>
          <w:sz w:val="32"/>
          <w:szCs w:val="32"/>
        </w:rPr>
        <w:t>使用诈骗方法非法集资，数额特别巨大，其行为均已构成集资诈骗罪，依法应予惩处。</w:t>
      </w:r>
    </w:p>
    <w:p>
      <w:pPr>
        <w:pStyle w:val="9"/>
        <w:numPr>
          <w:ilvl w:val="0"/>
          <w:numId w:val="1"/>
        </w:numPr>
        <w:spacing w:beforeLines="0" w:afterLines="0" w:line="560" w:lineRule="exact"/>
        <w:ind w:firstLineChars="0"/>
        <w:rPr>
          <w:rFonts w:ascii="仿宋" w:hAnsi="仿宋" w:eastAsia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案例评析</w:t>
      </w:r>
    </w:p>
    <w:p>
      <w:pPr>
        <w:spacing w:beforeLines="0" w:afterLines="0" w:line="560" w:lineRule="exact"/>
        <w:ind w:firstLine="64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近年来，市场出现了一些打着“金融创新”“经济新业态”“资本运作”等幌子的非法集资活动，对资本市场的正常管理秩序造成严重破坏。上述案件中，刘某及赵某二人明知该公司未经国家有关主管部门批准，没有向不特定公众募集资金的资质，没有真实对外投资项目的情况下，仍以非法占有为目的，虚构贵金属现货、期货及股票交易等业务，以投资可获得高额返利为诱饵，骗取众多被害人巨额钱款。此外，因二人组建的</w:t>
      </w:r>
      <w:r>
        <w:rPr>
          <w:rFonts w:ascii="仿宋" w:hAnsi="仿宋" w:eastAsia="仿宋"/>
          <w:color w:val="auto"/>
          <w:sz w:val="32"/>
          <w:szCs w:val="32"/>
        </w:rPr>
        <w:t>北京</w:t>
      </w:r>
      <w:r>
        <w:rPr>
          <w:rFonts w:hint="eastAsia" w:ascii="仿宋" w:hAnsi="仿宋" w:eastAsia="仿宋"/>
          <w:color w:val="auto"/>
          <w:sz w:val="32"/>
          <w:szCs w:val="32"/>
        </w:rPr>
        <w:t>某</w:t>
      </w:r>
      <w:r>
        <w:rPr>
          <w:rFonts w:ascii="仿宋" w:hAnsi="仿宋" w:eastAsia="仿宋"/>
          <w:color w:val="auto"/>
          <w:sz w:val="32"/>
          <w:szCs w:val="32"/>
        </w:rPr>
        <w:t>资产管理有限公司</w:t>
      </w:r>
      <w:r>
        <w:rPr>
          <w:rFonts w:hint="eastAsia" w:ascii="仿宋" w:hAnsi="仿宋" w:eastAsia="仿宋"/>
          <w:color w:val="auto"/>
          <w:sz w:val="32"/>
          <w:szCs w:val="32"/>
        </w:rPr>
        <w:t>兼营</w:t>
      </w:r>
      <w:r>
        <w:rPr>
          <w:rFonts w:ascii="仿宋" w:hAnsi="仿宋" w:eastAsia="仿宋"/>
          <w:color w:val="auto"/>
          <w:sz w:val="32"/>
          <w:szCs w:val="32"/>
        </w:rPr>
        <w:t>私募基金</w:t>
      </w:r>
      <w:r>
        <w:rPr>
          <w:rFonts w:hint="eastAsia" w:ascii="仿宋" w:hAnsi="仿宋" w:eastAsia="仿宋"/>
          <w:color w:val="auto"/>
          <w:sz w:val="32"/>
          <w:szCs w:val="32"/>
        </w:rPr>
        <w:t>、贵金属现货、股指期货</w:t>
      </w:r>
      <w:r>
        <w:rPr>
          <w:rFonts w:ascii="仿宋" w:hAnsi="仿宋" w:eastAsia="仿宋"/>
          <w:color w:val="auto"/>
          <w:sz w:val="32"/>
          <w:szCs w:val="32"/>
        </w:rPr>
        <w:t>等多种业务，跨界经营，行为模式更加复杂</w:t>
      </w:r>
      <w:r>
        <w:rPr>
          <w:rFonts w:hint="eastAsia" w:ascii="仿宋" w:hAnsi="仿宋" w:eastAsia="仿宋"/>
          <w:color w:val="auto"/>
          <w:sz w:val="32"/>
          <w:szCs w:val="32"/>
        </w:rPr>
        <w:t>隐蔽</w:t>
      </w:r>
      <w:r>
        <w:rPr>
          <w:rFonts w:ascii="仿宋" w:hAnsi="仿宋" w:eastAsia="仿宋"/>
          <w:color w:val="auto"/>
          <w:sz w:val="32"/>
          <w:szCs w:val="32"/>
        </w:rPr>
        <w:t>，增加了</w:t>
      </w:r>
      <w:r>
        <w:rPr>
          <w:rFonts w:hint="eastAsia" w:ascii="仿宋" w:hAnsi="仿宋" w:eastAsia="仿宋"/>
          <w:color w:val="auto"/>
          <w:sz w:val="32"/>
          <w:szCs w:val="32"/>
        </w:rPr>
        <w:t>公安、司法机关对于案件</w:t>
      </w:r>
      <w:r>
        <w:rPr>
          <w:rFonts w:ascii="仿宋" w:hAnsi="仿宋" w:eastAsia="仿宋"/>
          <w:color w:val="auto"/>
          <w:sz w:val="32"/>
          <w:szCs w:val="32"/>
        </w:rPr>
        <w:t>调查认定</w:t>
      </w:r>
      <w:r>
        <w:rPr>
          <w:rFonts w:hint="eastAsia" w:ascii="仿宋" w:hAnsi="仿宋" w:eastAsia="仿宋"/>
          <w:color w:val="auto"/>
          <w:sz w:val="32"/>
          <w:szCs w:val="32"/>
        </w:rPr>
        <w:t>的</w:t>
      </w:r>
      <w:r>
        <w:rPr>
          <w:rFonts w:ascii="仿宋" w:hAnsi="仿宋" w:eastAsia="仿宋"/>
          <w:color w:val="auto"/>
          <w:sz w:val="32"/>
          <w:szCs w:val="32"/>
        </w:rPr>
        <w:t>难度</w:t>
      </w:r>
      <w:r>
        <w:rPr>
          <w:rFonts w:hint="eastAsia" w:ascii="仿宋" w:hAnsi="仿宋" w:eastAsia="仿宋"/>
          <w:color w:val="auto"/>
          <w:sz w:val="32"/>
          <w:szCs w:val="32"/>
        </w:rPr>
        <w:t>。</w:t>
      </w:r>
    </w:p>
    <w:p>
      <w:pPr>
        <w:spacing w:beforeLines="0" w:afterLines="0" w:line="560" w:lineRule="exact"/>
        <w:ind w:firstLine="64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为依法严厉打击非法吸收公众存款、集资诈骗等非法集资违法犯罪活动，</w:t>
      </w:r>
      <w:r>
        <w:rPr>
          <w:rFonts w:ascii="仿宋" w:hAnsi="仿宋" w:eastAsia="仿宋"/>
          <w:color w:val="auto"/>
          <w:sz w:val="32"/>
          <w:szCs w:val="32"/>
        </w:rPr>
        <w:t>2019年1月30日，最高院、最高检和公安部联合印发了《关于办理非法集资刑事案件若干问题的意见》</w:t>
      </w:r>
      <w:r>
        <w:rPr>
          <w:rFonts w:hint="eastAsia" w:ascii="仿宋" w:hAnsi="仿宋" w:eastAsia="仿宋"/>
          <w:color w:val="auto"/>
          <w:sz w:val="32"/>
          <w:szCs w:val="32"/>
        </w:rPr>
        <w:t>（以下简称《意见》），进一步强调对网络借贷、投资理财、私募股权、养老服务等新兴领域非法集资的“重灾区”进行打击。《意见》规定人民法院、人民检察院、公安机关认定非法集资的“非法性”，应当以国家金融管理法律法规作为依据。根据《期货交易管理条例》规定，开展期货业务，应当在公司登记机关登记注册，并经中国证监会批准。</w:t>
      </w:r>
      <w:r>
        <w:rPr>
          <w:rFonts w:ascii="仿宋" w:hAnsi="仿宋" w:eastAsia="仿宋"/>
          <w:color w:val="auto"/>
          <w:sz w:val="32"/>
          <w:szCs w:val="32"/>
        </w:rPr>
        <w:t>未经批准，任何单位或者个人不得设立或者变相设立期货公司，经营期货业务。</w:t>
      </w:r>
    </w:p>
    <w:p>
      <w:pPr>
        <w:spacing w:beforeLines="0" w:afterLines="0" w:line="560" w:lineRule="exact"/>
        <w:ind w:firstLine="64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在此提醒广大中小投资者，期货交易具有高杠杆、高风险的特点，参与期货交易应当通过合法的期货经营机构。根据《证券期货投资者适当性管理办法》要求，期货经营机构在从事经纪业务时，应当主动向投资者提示期货交易风险，并不得向客户作获利保证，不得与客户约定分享利益或共担风险。投资者要抵制诱惑，远离非法集资，护好自己的“钱袋子”，并可以通过中国证监会网站（w</w:t>
      </w:r>
      <w:r>
        <w:rPr>
          <w:rFonts w:ascii="仿宋" w:hAnsi="仿宋" w:eastAsia="仿宋"/>
          <w:color w:val="auto"/>
          <w:sz w:val="32"/>
          <w:szCs w:val="32"/>
        </w:rPr>
        <w:t>ww.csrc.gov.cn）</w:t>
      </w:r>
      <w:r>
        <w:rPr>
          <w:rFonts w:hint="eastAsia" w:ascii="仿宋" w:hAnsi="仿宋" w:eastAsia="仿宋"/>
          <w:color w:val="auto"/>
          <w:sz w:val="32"/>
          <w:szCs w:val="32"/>
        </w:rPr>
        <w:t>和中国期货业协会网站（www.cfachina.org）查询合法期货经营机构及其从业人员信息。</w:t>
      </w:r>
    </w:p>
    <w:p>
      <w:pPr>
        <w:spacing w:before="156" w:after="156"/>
        <w:ind w:firstLine="0" w:firstLineChars="0"/>
        <w:rPr>
          <w:color w:val="auto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120" w:after="12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120" w:after="12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120" w:after="120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120" w:after="120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120" w:after="12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120" w:after="120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134BA5"/>
    <w:multiLevelType w:val="multilevel"/>
    <w:tmpl w:val="65134BA5"/>
    <w:lvl w:ilvl="0" w:tentative="0">
      <w:start w:val="2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3" w:hanging="420"/>
      </w:pPr>
    </w:lvl>
    <w:lvl w:ilvl="2" w:tentative="0">
      <w:start w:val="1"/>
      <w:numFmt w:val="lowerRoman"/>
      <w:lvlText w:val="%3."/>
      <w:lvlJc w:val="right"/>
      <w:pPr>
        <w:ind w:left="1903" w:hanging="420"/>
      </w:pPr>
    </w:lvl>
    <w:lvl w:ilvl="3" w:tentative="0">
      <w:start w:val="1"/>
      <w:numFmt w:val="decimal"/>
      <w:lvlText w:val="%4."/>
      <w:lvlJc w:val="left"/>
      <w:pPr>
        <w:ind w:left="2323" w:hanging="420"/>
      </w:pPr>
    </w:lvl>
    <w:lvl w:ilvl="4" w:tentative="0">
      <w:start w:val="1"/>
      <w:numFmt w:val="lowerLetter"/>
      <w:lvlText w:val="%5)"/>
      <w:lvlJc w:val="left"/>
      <w:pPr>
        <w:ind w:left="2743" w:hanging="420"/>
      </w:pPr>
    </w:lvl>
    <w:lvl w:ilvl="5" w:tentative="0">
      <w:start w:val="1"/>
      <w:numFmt w:val="lowerRoman"/>
      <w:lvlText w:val="%6."/>
      <w:lvlJc w:val="right"/>
      <w:pPr>
        <w:ind w:left="3163" w:hanging="420"/>
      </w:pPr>
    </w:lvl>
    <w:lvl w:ilvl="6" w:tentative="0">
      <w:start w:val="1"/>
      <w:numFmt w:val="decimal"/>
      <w:lvlText w:val="%7."/>
      <w:lvlJc w:val="left"/>
      <w:pPr>
        <w:ind w:left="3583" w:hanging="420"/>
      </w:pPr>
    </w:lvl>
    <w:lvl w:ilvl="7" w:tentative="0">
      <w:start w:val="1"/>
      <w:numFmt w:val="lowerLetter"/>
      <w:lvlText w:val="%8)"/>
      <w:lvlJc w:val="left"/>
      <w:pPr>
        <w:ind w:left="4003" w:hanging="420"/>
      </w:pPr>
    </w:lvl>
    <w:lvl w:ilvl="8" w:tentative="0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E36"/>
    <w:rsid w:val="00000E36"/>
    <w:rsid w:val="00012B19"/>
    <w:rsid w:val="00076937"/>
    <w:rsid w:val="000859C3"/>
    <w:rsid w:val="000F5259"/>
    <w:rsid w:val="00112255"/>
    <w:rsid w:val="001C296D"/>
    <w:rsid w:val="00243456"/>
    <w:rsid w:val="003B4D50"/>
    <w:rsid w:val="008369A0"/>
    <w:rsid w:val="00883EC6"/>
    <w:rsid w:val="008D194D"/>
    <w:rsid w:val="00A33838"/>
    <w:rsid w:val="00AF63AB"/>
    <w:rsid w:val="00C11F12"/>
    <w:rsid w:val="00D80158"/>
    <w:rsid w:val="00F0761F"/>
    <w:rsid w:val="50786A75"/>
    <w:rsid w:val="6B1F77C6"/>
    <w:rsid w:val="6CC660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50" w:afterLines="50"/>
      <w:ind w:firstLine="200" w:firstLineChars="200"/>
      <w:jc w:val="both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eastAsia="宋体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eastAsia="宋体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/>
    </w:pPr>
  </w:style>
  <w:style w:type="character" w:customStyle="1" w:styleId="10">
    <w:name w:val="批注框文本 Char"/>
    <w:basedOn w:val="6"/>
    <w:link w:val="2"/>
    <w:semiHidden/>
    <w:qFormat/>
    <w:uiPriority w:val="99"/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203</Words>
  <Characters>1163</Characters>
  <Lines>9</Lines>
  <Paragraphs>2</Paragraphs>
  <TotalTime>65</TotalTime>
  <ScaleCrop>false</ScaleCrop>
  <LinksUpToDate>false</LinksUpToDate>
  <CharactersWithSpaces>1364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2020-04-07T14:14:00Z</dcterms:created>
  <dc:creator>晓 籁</dc:creator>
  <cp:lastModifiedBy>Nancy</cp:lastModifiedBy>
  <dcterms:modified xsi:type="dcterms:W3CDTF">2020-04-27T07:34:13Z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