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ind w:firstLine="640"/>
        <w:rPr>
          <w:rFonts w:ascii="黑体" w:hAnsi="黑体" w:eastAsia="黑体" w:cs="方正小标宋简体"/>
          <w:color w:val="auto"/>
          <w:sz w:val="44"/>
          <w:szCs w:val="44"/>
        </w:rPr>
      </w:pPr>
      <w:bookmarkStart w:id="0" w:name="_GoBack"/>
      <w:r>
        <w:rPr>
          <w:rFonts w:hint="eastAsia" w:ascii="黑体" w:hAnsi="黑体" w:eastAsia="黑体" w:cs="方正小标宋简体"/>
          <w:color w:val="auto"/>
          <w:sz w:val="32"/>
          <w:szCs w:val="32"/>
        </w:rPr>
        <w:t xml:space="preserve">【以案说法】第五期 </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揭示个股场外期权风险</w:t>
      </w:r>
    </w:p>
    <w:p>
      <w:pPr>
        <w:spacing w:beforeLines="0" w:afterLines="0" w:line="560" w:lineRule="exact"/>
        <w:ind w:firstLine="880"/>
        <w:jc w:val="center"/>
        <w:rPr>
          <w:rFonts w:ascii="方正小标宋简体" w:hAnsi="方正小标宋简体" w:eastAsia="方正小标宋简体" w:cs="方正小标宋简体"/>
          <w:color w:val="auto"/>
          <w:sz w:val="44"/>
          <w:szCs w:val="44"/>
        </w:rPr>
      </w:pPr>
    </w:p>
    <w:p>
      <w:pPr>
        <w:spacing w:beforeLines="0" w:afterLines="0" w:line="560" w:lineRule="exact"/>
        <w:ind w:firstLine="643"/>
        <w:jc w:val="left"/>
        <w:rPr>
          <w:rFonts w:ascii="仿宋" w:hAnsi="仿宋" w:eastAsia="仿宋"/>
          <w:b/>
          <w:bCs/>
          <w:color w:val="auto"/>
          <w:sz w:val="32"/>
          <w:szCs w:val="32"/>
        </w:rPr>
      </w:pPr>
      <w:r>
        <w:rPr>
          <w:rFonts w:hint="eastAsia" w:ascii="仿宋" w:hAnsi="仿宋" w:eastAsia="仿宋"/>
          <w:b/>
          <w:bCs/>
          <w:color w:val="auto"/>
          <w:sz w:val="32"/>
          <w:szCs w:val="32"/>
        </w:rPr>
        <w:t>一、案件还原</w:t>
      </w:r>
    </w:p>
    <w:p>
      <w:pPr>
        <w:spacing w:beforeLines="0" w:afterLines="0" w:line="560" w:lineRule="exact"/>
        <w:ind w:firstLine="640"/>
        <w:rPr>
          <w:rFonts w:ascii="仿宋" w:hAnsi="仿宋" w:eastAsia="仿宋"/>
          <w:color w:val="auto"/>
          <w:sz w:val="32"/>
          <w:szCs w:val="32"/>
          <w:shd w:val="clear" w:color="auto" w:fill="FFFFFF"/>
        </w:rPr>
      </w:pPr>
      <w:r>
        <w:rPr>
          <w:rFonts w:ascii="仿宋" w:hAnsi="仿宋" w:eastAsia="仿宋"/>
          <w:color w:val="auto"/>
          <w:sz w:val="32"/>
          <w:szCs w:val="32"/>
          <w:shd w:val="clear" w:color="auto" w:fill="FFFFFF"/>
        </w:rPr>
        <w:t>2017年12月，</w:t>
      </w:r>
      <w:r>
        <w:rPr>
          <w:rFonts w:hint="eastAsia" w:ascii="仿宋" w:hAnsi="仿宋" w:eastAsia="仿宋"/>
          <w:color w:val="auto"/>
          <w:sz w:val="32"/>
          <w:szCs w:val="32"/>
          <w:shd w:val="clear" w:color="auto" w:fill="FFFFFF"/>
        </w:rPr>
        <w:t>钟某、叶某1、叶某2在福建省福州市控制“福州某信息咨询有限公司”，开始以公司化运作模式实施诈骗活动。该公司首先与刘某约定,利用其资管产品认购人的通道购买股票期权，投资人的经济损失转入刘某的账户后，除刘某截留一定的手续费外，余款全部返还。2017年12月22日，刘某、陈某与深圳某资本管理有限公司签订“金汇资本—长发3号资产管理合同”，开始认购资管产品。该产品推出后，深圳某资本管理有限公司分别与浙江某资本管理有限公司、上海某投资管理有限公司、北京某资本管理有限公司签订《中国证券市场金融衍生品交易主协议》</w:t>
      </w:r>
      <w:r>
        <w:rPr>
          <w:rFonts w:hint="eastAsia" w:ascii="仿宋" w:hAnsi="仿宋" w:eastAsia="仿宋"/>
          <w:color w:val="auto"/>
          <w:sz w:val="32"/>
          <w:szCs w:val="32"/>
          <w:shd w:val="clear" w:color="auto" w:fill="FFFFFF"/>
        </w:rPr>
        <w:t>，进行个股场外期权对手方交易。福州某信息咨询有限公司分别于2018年1月3日、1月30日、3月29日与上述三家</w:t>
      </w:r>
      <w:r>
        <w:rPr>
          <w:rFonts w:hint="eastAsia" w:ascii="仿宋" w:hAnsi="仿宋" w:eastAsia="仿宋"/>
          <w:color w:val="auto"/>
          <w:sz w:val="32"/>
          <w:szCs w:val="32"/>
          <w:shd w:val="clear" w:color="auto" w:fill="FFFFFF"/>
        </w:rPr>
        <w:t>期货公司风险子公司</w:t>
      </w:r>
      <w:r>
        <w:rPr>
          <w:rFonts w:hint="eastAsia" w:ascii="仿宋" w:hAnsi="仿宋" w:eastAsia="仿宋"/>
          <w:color w:val="auto"/>
          <w:sz w:val="32"/>
          <w:szCs w:val="32"/>
          <w:shd w:val="clear" w:color="auto" w:fill="FFFFFF"/>
        </w:rPr>
        <w:t>签订《中国证券期货市场场外衍生品交易主协议（2014年版）》，约定作为股票期权的买方，与上述三公司进行交易。</w:t>
      </w:r>
    </w:p>
    <w:p>
      <w:pPr>
        <w:spacing w:beforeLines="0" w:afterLines="0" w:line="560" w:lineRule="exact"/>
        <w:ind w:firstLine="784" w:firstLineChars="245"/>
        <w:rPr>
          <w:rFonts w:ascii="仿宋" w:hAnsi="仿宋" w:eastAsia="仿宋" w:cs="方正小标宋简体"/>
          <w:color w:val="auto"/>
          <w:sz w:val="32"/>
          <w:szCs w:val="32"/>
        </w:rPr>
      </w:pPr>
      <w:r>
        <w:rPr>
          <w:rFonts w:hint="eastAsia" w:ascii="仿宋" w:hAnsi="仿宋" w:eastAsia="仿宋"/>
          <w:color w:val="auto"/>
          <w:sz w:val="32"/>
          <w:szCs w:val="32"/>
          <w:shd w:val="clear" w:color="auto" w:fill="FFFFFF"/>
        </w:rPr>
        <w:t>通道打通后，钟某、叶某1、叶某2等人即组织公司员工通过网络诱骗被害人购买其推荐的“金汇资本—长发3号”的股票期权。公司设推广部、市场部、人事部、技术部、财务部、客服部。推广部员工编造虚假投资股票赚钱案例，编辑股票走势图，配以荐股、领牛股、跟着</w:t>
      </w:r>
      <w:r>
        <w:rPr>
          <w:rFonts w:hint="eastAsia" w:ascii="仿宋" w:hAnsi="仿宋" w:eastAsia="仿宋"/>
          <w:color w:val="auto"/>
          <w:sz w:val="32"/>
          <w:szCs w:val="32"/>
          <w:shd w:val="clear" w:color="auto" w:fill="FFFFFF"/>
        </w:rPr>
        <w:t>牛</w:t>
      </w:r>
      <w:r>
        <w:rPr>
          <w:rFonts w:hint="eastAsia" w:ascii="仿宋" w:hAnsi="仿宋" w:eastAsia="仿宋"/>
          <w:color w:val="auto"/>
          <w:sz w:val="32"/>
          <w:szCs w:val="32"/>
          <w:shd w:val="clear" w:color="auto" w:fill="FFFFFF"/>
        </w:rPr>
        <w:t>人炒股等图片，打着高收益的噱头在网站发布诈骗广告，在广告中留下没有任何荐股资质及股票从业经验的市场部员工的微信号，并冠以“股票专员”“高级股票专员”“投资助理”等名衔，将被害人“引流”到公司市场部。被害人添加市场部员工微信之后，市场部员工假冒高级股票专员等身份，向客户发送公司技术部制作的虚假赚钱案例、虚假转账截图等，夸大投资股票期权的收益率，将被害人拉进自己建立的股票微信交流群，市场部的其他人员在该群里冒充客户互动，通过发跟着公司赚钱的话术，互相配合共同取得被害人的信任，从而诱骗被害人将钱打到公司账户。</w:t>
      </w:r>
    </w:p>
    <w:p>
      <w:pPr>
        <w:spacing w:beforeLines="0" w:afterLines="0" w:line="560" w:lineRule="exact"/>
        <w:ind w:firstLine="64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法院经审理认为，被告人钟某、叶某1、叶某2、刘某等人伙同他人，以非法占有为目的，采取虚构事实、隐瞒真相的方法骗取被害人财物，其行为均已构成诈骗罪。</w:t>
      </w:r>
    </w:p>
    <w:p>
      <w:pPr>
        <w:spacing w:beforeLines="0" w:afterLines="0" w:line="560" w:lineRule="exact"/>
        <w:ind w:firstLine="643"/>
        <w:rPr>
          <w:rFonts w:ascii="仿宋" w:hAnsi="仿宋" w:eastAsia="仿宋"/>
          <w:b/>
          <w:bCs/>
          <w:color w:val="auto"/>
          <w:sz w:val="32"/>
          <w:szCs w:val="32"/>
          <w:shd w:val="clear" w:color="auto" w:fill="FFFFFF"/>
        </w:rPr>
      </w:pPr>
      <w:r>
        <w:rPr>
          <w:rFonts w:hint="eastAsia" w:ascii="仿宋" w:hAnsi="仿宋" w:eastAsia="仿宋"/>
          <w:b/>
          <w:bCs/>
          <w:color w:val="auto"/>
          <w:sz w:val="32"/>
          <w:szCs w:val="32"/>
          <w:shd w:val="clear" w:color="auto" w:fill="FFFFFF"/>
        </w:rPr>
        <w:t>二、</w:t>
      </w:r>
      <w:r>
        <w:rPr>
          <w:rFonts w:ascii="仿宋" w:hAnsi="仿宋" w:eastAsia="仿宋"/>
          <w:b/>
          <w:bCs/>
          <w:color w:val="auto"/>
          <w:sz w:val="32"/>
          <w:szCs w:val="32"/>
          <w:shd w:val="clear" w:color="auto" w:fill="FFFFFF"/>
        </w:rPr>
        <w:tab/>
      </w:r>
      <w:r>
        <w:rPr>
          <w:rFonts w:ascii="仿宋" w:hAnsi="仿宋" w:eastAsia="仿宋"/>
          <w:b/>
          <w:bCs/>
          <w:color w:val="auto"/>
          <w:sz w:val="32"/>
          <w:szCs w:val="32"/>
          <w:shd w:val="clear" w:color="auto" w:fill="FFFFFF"/>
        </w:rPr>
        <w:t>案例评析</w:t>
      </w:r>
    </w:p>
    <w:p>
      <w:pPr>
        <w:spacing w:beforeLines="0" w:afterLines="0" w:line="560" w:lineRule="exact"/>
        <w:ind w:firstLine="64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本案中，被告人钟某、叶某1、叶某2、刘某等人伙同他人，利用个别期货公司风险子公司的管理疏漏，通过与其签订《中国证券市场金融衍生品交易主协议》</w:t>
      </w:r>
      <w:r>
        <w:rPr>
          <w:rFonts w:hint="eastAsia" w:ascii="仿宋" w:hAnsi="仿宋" w:eastAsia="仿宋"/>
          <w:color w:val="auto"/>
          <w:sz w:val="32"/>
          <w:szCs w:val="32"/>
          <w:shd w:val="clear" w:color="auto" w:fill="FFFFFF"/>
        </w:rPr>
        <w:t>，进行个股场外期权对手方交易，并通过网络宣传，</w:t>
      </w:r>
      <w:r>
        <w:rPr>
          <w:rFonts w:hint="eastAsia" w:ascii="仿宋" w:hAnsi="仿宋" w:eastAsia="仿宋"/>
          <w:color w:val="auto"/>
          <w:sz w:val="32"/>
          <w:szCs w:val="32"/>
          <w:shd w:val="clear" w:color="auto" w:fill="FFFFFF"/>
        </w:rPr>
        <w:t>引诱大量没有风险承受能力的散户，参与到个股场外期权交易。</w:t>
      </w:r>
    </w:p>
    <w:p>
      <w:pPr>
        <w:spacing w:beforeLines="0" w:afterLines="0" w:line="560" w:lineRule="exact"/>
        <w:ind w:firstLine="64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期货公司风险子公司开展场外期权业务，应当接受中国期货业协会（以下简称协会）的自律管理。根据协会2</w:t>
      </w:r>
      <w:r>
        <w:rPr>
          <w:rFonts w:ascii="仿宋" w:hAnsi="仿宋" w:eastAsia="仿宋"/>
          <w:color w:val="auto"/>
          <w:sz w:val="32"/>
          <w:szCs w:val="32"/>
          <w:shd w:val="clear" w:color="auto" w:fill="FFFFFF"/>
        </w:rPr>
        <w:t>018</w:t>
      </w:r>
      <w:r>
        <w:rPr>
          <w:rFonts w:hint="eastAsia" w:ascii="仿宋" w:hAnsi="仿宋" w:eastAsia="仿宋"/>
          <w:color w:val="auto"/>
          <w:sz w:val="32"/>
          <w:szCs w:val="32"/>
          <w:shd w:val="clear" w:color="auto" w:fill="FFFFFF"/>
        </w:rPr>
        <w:t>年发布的《关于进一步加强风险管理公司场外衍生品业务自律管理的通知》要求：期货公司风险子公司应当采取必要措施，对投资者尤其是私募基金等非持牌机构的真实身份、资金来源合法性、产品合同中对场外衍生品是否约定、相关风险是否揭示等进行核实；审慎核查投资者真实交易目的，核验投资者是否具有真实的风险管理需求，确认相关投资符合法律法规规定；确认交易对手方的资金来源为依法依规取得的资金，不存在非法汇集他人资金或违反反洗钱规定的有关情况；期货公司风险子公司不得为自然人办理场外期权相关业务。协会2</w:t>
      </w:r>
      <w:r>
        <w:rPr>
          <w:rFonts w:ascii="仿宋" w:hAnsi="仿宋" w:eastAsia="仿宋"/>
          <w:color w:val="auto"/>
          <w:sz w:val="32"/>
          <w:szCs w:val="32"/>
          <w:shd w:val="clear" w:color="auto" w:fill="FFFFFF"/>
        </w:rPr>
        <w:t>019</w:t>
      </w:r>
      <w:r>
        <w:rPr>
          <w:rFonts w:hint="eastAsia" w:ascii="仿宋" w:hAnsi="仿宋" w:eastAsia="仿宋"/>
          <w:color w:val="auto"/>
          <w:sz w:val="32"/>
          <w:szCs w:val="32"/>
          <w:shd w:val="clear" w:color="auto" w:fill="FFFFFF"/>
        </w:rPr>
        <w:t>年发布修订后的《期货公司风险管理公司业务试点指引》进一步明确规定，期货公司风险子公司开展场外衍生品业务，不得与自然人签订业务合同或开展场外衍生品交易。</w:t>
      </w:r>
    </w:p>
    <w:p>
      <w:pPr>
        <w:spacing w:beforeLines="0" w:afterLines="0" w:line="560" w:lineRule="exact"/>
        <w:ind w:firstLine="640"/>
        <w:rPr>
          <w:rFonts w:ascii="仿宋" w:hAnsi="仿宋" w:eastAsia="仿宋"/>
          <w:color w:val="auto"/>
          <w:sz w:val="32"/>
          <w:szCs w:val="32"/>
          <w:shd w:val="clear" w:color="auto" w:fill="FFFFFF"/>
        </w:rPr>
      </w:pPr>
      <w:r>
        <w:rPr>
          <w:rFonts w:hint="eastAsia" w:ascii="仿宋" w:hAnsi="仿宋" w:eastAsia="仿宋"/>
          <w:color w:val="auto"/>
          <w:sz w:val="32"/>
          <w:szCs w:val="32"/>
          <w:shd w:val="clear" w:color="auto" w:fill="FFFFFF"/>
        </w:rPr>
        <w:t>在此提醒广大投资者，应当提高风险防范意识，非正规平台不具备相应金融业务资质，不接受</w:t>
      </w:r>
      <w:r>
        <w:rPr>
          <w:rFonts w:hint="eastAsia" w:ascii="仿宋" w:hAnsi="仿宋" w:eastAsia="仿宋"/>
          <w:color w:val="auto"/>
          <w:sz w:val="32"/>
          <w:szCs w:val="32"/>
          <w:shd w:val="clear" w:color="auto" w:fill="FFFFFF"/>
        </w:rPr>
        <w:t>监管部门</w:t>
      </w:r>
      <w:r>
        <w:rPr>
          <w:rFonts w:hint="eastAsia" w:ascii="仿宋" w:hAnsi="仿宋" w:eastAsia="仿宋"/>
          <w:color w:val="auto"/>
          <w:sz w:val="32"/>
          <w:szCs w:val="32"/>
          <w:shd w:val="clear" w:color="auto" w:fill="FFFFFF"/>
        </w:rPr>
        <w:t>监管，资金流向无法识别监控，如在生活中发现上述不法平台，请及时向公安机关报案或向当地金融监管部门揭发检举。同时，也提醒期货公司风险子公司，在为法人客户</w:t>
      </w:r>
      <w:r>
        <w:rPr>
          <w:rFonts w:ascii="仿宋" w:hAnsi="仿宋" w:eastAsia="仿宋"/>
          <w:color w:val="auto"/>
          <w:sz w:val="32"/>
          <w:szCs w:val="32"/>
          <w:shd w:val="clear" w:color="auto" w:fill="FFFFFF"/>
        </w:rPr>
        <w:t>/交易对手方销售产品或提供服务时，</w:t>
      </w:r>
      <w:r>
        <w:rPr>
          <w:rFonts w:hint="eastAsia" w:ascii="仿宋" w:hAnsi="仿宋" w:eastAsia="仿宋"/>
          <w:color w:val="auto"/>
          <w:sz w:val="32"/>
          <w:szCs w:val="32"/>
          <w:shd w:val="clear" w:color="auto" w:fill="FFFFFF"/>
        </w:rPr>
        <w:t>应当</w:t>
      </w:r>
      <w:r>
        <w:rPr>
          <w:rFonts w:ascii="仿宋" w:hAnsi="仿宋" w:eastAsia="仿宋"/>
          <w:color w:val="auto"/>
          <w:sz w:val="32"/>
          <w:szCs w:val="32"/>
          <w:shd w:val="clear" w:color="auto" w:fill="FFFFFF"/>
        </w:rPr>
        <w:t>勤勉尽责履行客户身份识别义务</w:t>
      </w:r>
      <w:r>
        <w:rPr>
          <w:rFonts w:hint="eastAsia" w:ascii="仿宋" w:hAnsi="仿宋" w:eastAsia="仿宋"/>
          <w:color w:val="auto"/>
          <w:sz w:val="32"/>
          <w:szCs w:val="32"/>
          <w:shd w:val="clear" w:color="auto" w:fill="FFFFFF"/>
        </w:rPr>
        <w:t>，进一步维护期货行业的健康稳定发展。</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797B"/>
    <w:rsid w:val="00072FCC"/>
    <w:rsid w:val="000859C3"/>
    <w:rsid w:val="000E589A"/>
    <w:rsid w:val="001515FC"/>
    <w:rsid w:val="0016797B"/>
    <w:rsid w:val="0030156F"/>
    <w:rsid w:val="003C2E77"/>
    <w:rsid w:val="003D415E"/>
    <w:rsid w:val="004022AA"/>
    <w:rsid w:val="005539D1"/>
    <w:rsid w:val="005E1268"/>
    <w:rsid w:val="005E4A53"/>
    <w:rsid w:val="005E7480"/>
    <w:rsid w:val="005E7C44"/>
    <w:rsid w:val="005F7AD3"/>
    <w:rsid w:val="006E71E1"/>
    <w:rsid w:val="00712002"/>
    <w:rsid w:val="007375CB"/>
    <w:rsid w:val="007752E1"/>
    <w:rsid w:val="007B01D8"/>
    <w:rsid w:val="00802215"/>
    <w:rsid w:val="00843952"/>
    <w:rsid w:val="0085140D"/>
    <w:rsid w:val="0097269B"/>
    <w:rsid w:val="009F6C7B"/>
    <w:rsid w:val="00A87614"/>
    <w:rsid w:val="00A91859"/>
    <w:rsid w:val="00A95DF8"/>
    <w:rsid w:val="00AE42DE"/>
    <w:rsid w:val="00B1771F"/>
    <w:rsid w:val="00B443ED"/>
    <w:rsid w:val="00CC089F"/>
    <w:rsid w:val="00D80158"/>
    <w:rsid w:val="00E009BB"/>
    <w:rsid w:val="00E264D7"/>
    <w:rsid w:val="00EF67F5"/>
    <w:rsid w:val="6FB055E2"/>
    <w:rsid w:val="76DA00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Lines="50" w:afterLines="50"/>
      <w:ind w:firstLine="200" w:firstLineChars="200"/>
      <w:jc w:val="both"/>
    </w:pPr>
    <w:rPr>
      <w:rFonts w:eastAsia="宋体" w:asciiTheme="minorHAnsi" w:hAnsiTheme="minorHAnsi" w:cstheme="minorBidi"/>
      <w:kern w:val="2"/>
      <w:sz w:val="24"/>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eastAsia="宋体"/>
      <w:sz w:val="18"/>
      <w:szCs w:val="18"/>
    </w:rPr>
  </w:style>
  <w:style w:type="character" w:customStyle="1" w:styleId="8">
    <w:name w:val="页脚 Char"/>
    <w:basedOn w:val="6"/>
    <w:link w:val="3"/>
    <w:uiPriority w:val="99"/>
    <w:rPr>
      <w:rFonts w:eastAsia="宋体"/>
      <w:sz w:val="18"/>
      <w:szCs w:val="18"/>
    </w:rPr>
  </w:style>
  <w:style w:type="character" w:customStyle="1" w:styleId="9">
    <w:name w:val="批注框文本 Char"/>
    <w:basedOn w:val="6"/>
    <w:link w:val="2"/>
    <w:semiHidden/>
    <w:uiPriority w:val="99"/>
    <w:rPr>
      <w:rFonts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229</Words>
  <Characters>1311</Characters>
  <Lines>10</Lines>
  <Paragraphs>3</Paragraphs>
  <TotalTime>80</TotalTime>
  <ScaleCrop>false</ScaleCrop>
  <LinksUpToDate>false</LinksUpToDate>
  <CharactersWithSpaces>1537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2020-04-08T02:50:00Z</dcterms:created>
  <dc:creator>晓 籁</dc:creator>
  <cp:lastModifiedBy>Nancy</cp:lastModifiedBy>
  <dcterms:modified xsi:type="dcterms:W3CDTF">2020-04-19T08:46:08Z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