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60" w:lineRule="exact"/>
        <w:ind w:firstLine="640"/>
        <w:jc w:val="left"/>
        <w:rPr>
          <w:rFonts w:ascii="仿宋" w:hAnsi="仿宋" w:eastAsia="仿宋"/>
          <w:color w:val="auto"/>
          <w:sz w:val="32"/>
          <w:szCs w:val="32"/>
        </w:rPr>
      </w:pPr>
      <w:bookmarkStart w:id="0" w:name="_GoBack"/>
      <w:r>
        <w:rPr>
          <w:rFonts w:hint="eastAsia" w:ascii="黑体" w:hAnsi="黑体" w:eastAsia="黑体" w:cs="方正小标宋简体"/>
          <w:color w:val="auto"/>
          <w:sz w:val="32"/>
          <w:szCs w:val="32"/>
        </w:rPr>
        <w:t xml:space="preserve">【以案说法】第三期 </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你了解强行平仓吗？</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pStyle w:val="9"/>
        <w:numPr>
          <w:ilvl w:val="0"/>
          <w:numId w:val="1"/>
        </w:numPr>
        <w:spacing w:beforeLines="0" w:afterLines="0" w:line="560" w:lineRule="exact"/>
        <w:ind w:firstLineChars="0"/>
        <w:jc w:val="left"/>
        <w:rPr>
          <w:rFonts w:ascii="仿宋" w:hAnsi="仿宋" w:eastAsia="仿宋"/>
          <w:b/>
          <w:bCs/>
          <w:color w:val="auto"/>
          <w:sz w:val="32"/>
          <w:szCs w:val="32"/>
        </w:rPr>
      </w:pPr>
      <w:r>
        <w:rPr>
          <w:rFonts w:hint="eastAsia" w:ascii="仿宋" w:hAnsi="仿宋" w:eastAsia="仿宋"/>
          <w:b/>
          <w:bCs/>
          <w:color w:val="auto"/>
          <w:sz w:val="32"/>
          <w:szCs w:val="32"/>
        </w:rPr>
        <w:t>案件还原</w:t>
      </w:r>
    </w:p>
    <w:p>
      <w:pPr>
        <w:spacing w:beforeLines="0" w:afterLines="0" w:line="560" w:lineRule="exact"/>
        <w:ind w:firstLine="640"/>
        <w:rPr>
          <w:rFonts w:ascii="仿宋" w:hAnsi="仿宋" w:eastAsia="仿宋"/>
          <w:color w:val="auto"/>
          <w:sz w:val="32"/>
          <w:szCs w:val="32"/>
        </w:rPr>
      </w:pPr>
      <w:r>
        <w:rPr>
          <w:rFonts w:ascii="仿宋" w:hAnsi="仿宋" w:eastAsia="仿宋"/>
          <w:color w:val="auto"/>
          <w:sz w:val="32"/>
          <w:szCs w:val="32"/>
        </w:rPr>
        <w:t>2009年10月27日，原</w:t>
      </w:r>
      <w:r>
        <w:rPr>
          <w:rFonts w:hint="eastAsia" w:ascii="仿宋" w:hAnsi="仿宋" w:eastAsia="仿宋"/>
          <w:color w:val="auto"/>
          <w:sz w:val="32"/>
          <w:szCs w:val="32"/>
        </w:rPr>
        <w:t>告倪某与被告某期货公司</w:t>
      </w:r>
      <w:r>
        <w:rPr>
          <w:rFonts w:ascii="仿宋" w:hAnsi="仿宋" w:eastAsia="仿宋"/>
          <w:color w:val="auto"/>
          <w:sz w:val="32"/>
          <w:szCs w:val="32"/>
        </w:rPr>
        <w:t>签订《期货经纪合同》，约定原</w:t>
      </w:r>
      <w:r>
        <w:rPr>
          <w:rFonts w:hint="eastAsia" w:ascii="仿宋" w:hAnsi="仿宋" w:eastAsia="仿宋"/>
          <w:color w:val="auto"/>
          <w:sz w:val="32"/>
          <w:szCs w:val="32"/>
        </w:rPr>
        <w:t>告倪某</w:t>
      </w:r>
      <w:r>
        <w:rPr>
          <w:rFonts w:ascii="仿宋" w:hAnsi="仿宋" w:eastAsia="仿宋"/>
          <w:color w:val="auto"/>
          <w:sz w:val="32"/>
          <w:szCs w:val="32"/>
        </w:rPr>
        <w:t>委托</w:t>
      </w:r>
      <w:r>
        <w:rPr>
          <w:rFonts w:hint="eastAsia" w:ascii="仿宋" w:hAnsi="仿宋" w:eastAsia="仿宋"/>
          <w:color w:val="auto"/>
          <w:sz w:val="32"/>
          <w:szCs w:val="32"/>
        </w:rPr>
        <w:t>被告某期货公司</w:t>
      </w:r>
      <w:r>
        <w:rPr>
          <w:rFonts w:ascii="仿宋" w:hAnsi="仿宋" w:eastAsia="仿宋"/>
          <w:color w:val="auto"/>
          <w:sz w:val="32"/>
          <w:szCs w:val="32"/>
        </w:rPr>
        <w:t>按照</w:t>
      </w:r>
      <w:r>
        <w:rPr>
          <w:rFonts w:hint="eastAsia" w:ascii="仿宋" w:hAnsi="仿宋" w:eastAsia="仿宋"/>
          <w:color w:val="auto"/>
          <w:sz w:val="32"/>
          <w:szCs w:val="32"/>
        </w:rPr>
        <w:t>其</w:t>
      </w:r>
      <w:r>
        <w:rPr>
          <w:rFonts w:ascii="仿宋" w:hAnsi="仿宋" w:eastAsia="仿宋"/>
          <w:color w:val="auto"/>
          <w:sz w:val="32"/>
          <w:szCs w:val="32"/>
        </w:rPr>
        <w:t>指令为</w:t>
      </w:r>
      <w:r>
        <w:rPr>
          <w:rFonts w:hint="eastAsia" w:ascii="仿宋" w:hAnsi="仿宋" w:eastAsia="仿宋"/>
          <w:color w:val="auto"/>
          <w:sz w:val="32"/>
          <w:szCs w:val="32"/>
        </w:rPr>
        <w:t>其</w:t>
      </w:r>
      <w:r>
        <w:rPr>
          <w:rFonts w:ascii="仿宋" w:hAnsi="仿宋" w:eastAsia="仿宋"/>
          <w:color w:val="auto"/>
          <w:sz w:val="32"/>
          <w:szCs w:val="32"/>
        </w:rPr>
        <w:t>进行期货交易；在“通知与确认”一节约定，为确保被告</w:t>
      </w:r>
      <w:r>
        <w:rPr>
          <w:rFonts w:hint="eastAsia" w:ascii="仿宋" w:hAnsi="仿宋" w:eastAsia="仿宋"/>
          <w:color w:val="auto"/>
          <w:sz w:val="32"/>
          <w:szCs w:val="32"/>
        </w:rPr>
        <w:t>某期货公司</w:t>
      </w:r>
      <w:r>
        <w:rPr>
          <w:rFonts w:ascii="仿宋" w:hAnsi="仿宋" w:eastAsia="仿宋"/>
          <w:color w:val="auto"/>
          <w:sz w:val="32"/>
          <w:szCs w:val="32"/>
        </w:rPr>
        <w:t>能够履行通知义务，原告</w:t>
      </w:r>
      <w:r>
        <w:rPr>
          <w:rFonts w:hint="eastAsia" w:ascii="仿宋" w:hAnsi="仿宋" w:eastAsia="仿宋"/>
          <w:color w:val="auto"/>
          <w:sz w:val="32"/>
          <w:szCs w:val="32"/>
        </w:rPr>
        <w:t>倪某</w:t>
      </w:r>
      <w:r>
        <w:rPr>
          <w:rFonts w:ascii="仿宋" w:hAnsi="仿宋" w:eastAsia="仿宋"/>
          <w:color w:val="auto"/>
          <w:sz w:val="32"/>
          <w:szCs w:val="32"/>
        </w:rPr>
        <w:t>及时了解自己账户的交易情况，双方同意利用</w:t>
      </w:r>
      <w:r>
        <w:rPr>
          <w:rFonts w:hint="eastAsia" w:ascii="仿宋" w:hAnsi="仿宋" w:eastAsia="仿宋"/>
          <w:color w:val="auto"/>
          <w:sz w:val="32"/>
          <w:szCs w:val="32"/>
        </w:rPr>
        <w:t>中国期货市场监控中心</w:t>
      </w:r>
      <w:r>
        <w:rPr>
          <w:rFonts w:ascii="仿宋" w:hAnsi="仿宋" w:eastAsia="仿宋"/>
          <w:color w:val="auto"/>
          <w:sz w:val="32"/>
          <w:szCs w:val="32"/>
        </w:rPr>
        <w:t>投资者查询服务系统作为被告</w:t>
      </w:r>
      <w:r>
        <w:rPr>
          <w:rFonts w:hint="eastAsia" w:ascii="仿宋" w:hAnsi="仿宋" w:eastAsia="仿宋"/>
          <w:color w:val="auto"/>
          <w:sz w:val="32"/>
          <w:szCs w:val="32"/>
        </w:rPr>
        <w:t>某期货公司</w:t>
      </w:r>
      <w:r>
        <w:rPr>
          <w:rFonts w:ascii="仿宋" w:hAnsi="仿宋" w:eastAsia="仿宋"/>
          <w:color w:val="auto"/>
          <w:sz w:val="32"/>
          <w:szCs w:val="32"/>
        </w:rPr>
        <w:t>向原告</w:t>
      </w:r>
      <w:r>
        <w:rPr>
          <w:rFonts w:hint="eastAsia" w:ascii="仿宋" w:hAnsi="仿宋" w:eastAsia="仿宋"/>
          <w:color w:val="auto"/>
          <w:sz w:val="32"/>
          <w:szCs w:val="32"/>
        </w:rPr>
        <w:t>倪某</w:t>
      </w:r>
      <w:r>
        <w:rPr>
          <w:rFonts w:ascii="仿宋" w:hAnsi="仿宋" w:eastAsia="仿宋"/>
          <w:color w:val="auto"/>
          <w:sz w:val="32"/>
          <w:szCs w:val="32"/>
        </w:rPr>
        <w:t>发送交易结算报告、追加保证金通知、强</w:t>
      </w:r>
      <w:r>
        <w:rPr>
          <w:rFonts w:ascii="仿宋" w:hAnsi="仿宋" w:eastAsia="仿宋"/>
          <w:color w:val="auto"/>
          <w:sz w:val="32"/>
          <w:szCs w:val="32"/>
        </w:rPr>
        <w:t>平</w:t>
      </w:r>
      <w:r>
        <w:rPr>
          <w:rFonts w:ascii="仿宋" w:hAnsi="仿宋" w:eastAsia="仿宋"/>
          <w:color w:val="auto"/>
          <w:sz w:val="32"/>
          <w:szCs w:val="32"/>
        </w:rPr>
        <w:t>通知等文件的主要通知方式</w:t>
      </w:r>
      <w:r>
        <w:rPr>
          <w:rFonts w:hint="eastAsia" w:ascii="仿宋" w:hAnsi="仿宋" w:eastAsia="仿宋"/>
          <w:color w:val="auto"/>
          <w:sz w:val="32"/>
          <w:szCs w:val="32"/>
        </w:rPr>
        <w:t>；在“风险控制”一节约定，原告倪某在持仓过程中，应当随时关注自己的持仓、保证金和权益变化情况，并妥善处理自己的交易持仓。原告倪某的交易保证金不足，又未能及时追加保证金的，原告倪某必须自行采取平仓措施，否则被告某期货公司有权对原告倪某所持头寸采取强制平仓措施。双方同时约定，交易过程中（包括但不限于交易行情急剧变化或因交易所调整风险控制措施等原因导致），当原告倪某可用资金</w:t>
      </w:r>
      <w:r>
        <w:rPr>
          <w:rFonts w:ascii="仿宋" w:hAnsi="仿宋" w:eastAsia="仿宋"/>
          <w:color w:val="auto"/>
          <w:sz w:val="32"/>
          <w:szCs w:val="32"/>
        </w:rPr>
        <w:t>0，应承担由此产生的结果。签订《期货经纪合同》之前，</w:t>
      </w:r>
      <w:r>
        <w:rPr>
          <w:rFonts w:hint="eastAsia" w:ascii="仿宋" w:hAnsi="仿宋" w:eastAsia="仿宋"/>
          <w:color w:val="auto"/>
          <w:sz w:val="32"/>
          <w:szCs w:val="32"/>
        </w:rPr>
        <w:t>原告倪某</w:t>
      </w:r>
      <w:r>
        <w:rPr>
          <w:rFonts w:ascii="仿宋" w:hAnsi="仿宋" w:eastAsia="仿宋"/>
          <w:color w:val="auto"/>
          <w:sz w:val="32"/>
          <w:szCs w:val="32"/>
        </w:rPr>
        <w:t>在《期货交易风险说明书》及《客户须知》上签字，确认已阅读并完全理解</w:t>
      </w:r>
      <w:r>
        <w:rPr>
          <w:rFonts w:hint="eastAsia" w:ascii="仿宋" w:hAnsi="仿宋" w:eastAsia="仿宋"/>
          <w:color w:val="auto"/>
          <w:sz w:val="32"/>
          <w:szCs w:val="32"/>
        </w:rPr>
        <w:t>该两份文件中各项内容。</w:t>
      </w:r>
    </w:p>
    <w:p>
      <w:pPr>
        <w:spacing w:beforeLines="0" w:afterLines="0" w:line="560" w:lineRule="exact"/>
        <w:ind w:firstLine="640"/>
        <w:rPr>
          <w:rFonts w:ascii="仿宋" w:hAnsi="仿宋" w:eastAsia="仿宋"/>
          <w:color w:val="auto"/>
          <w:sz w:val="32"/>
          <w:szCs w:val="32"/>
        </w:rPr>
      </w:pPr>
      <w:r>
        <w:rPr>
          <w:rFonts w:ascii="仿宋" w:hAnsi="仿宋" w:eastAsia="仿宋"/>
          <w:color w:val="auto"/>
          <w:sz w:val="32"/>
          <w:szCs w:val="32"/>
        </w:rPr>
        <w:t>2016年4月22日下午收盘后，</w:t>
      </w:r>
      <w:r>
        <w:rPr>
          <w:rFonts w:hint="eastAsia" w:ascii="仿宋" w:hAnsi="仿宋" w:eastAsia="仿宋"/>
          <w:color w:val="auto"/>
          <w:sz w:val="32"/>
          <w:szCs w:val="32"/>
        </w:rPr>
        <w:t>原告倪某</w:t>
      </w:r>
      <w:r>
        <w:rPr>
          <w:rFonts w:ascii="仿宋" w:hAnsi="仿宋" w:eastAsia="仿宋"/>
          <w:color w:val="auto"/>
          <w:sz w:val="32"/>
          <w:szCs w:val="32"/>
        </w:rPr>
        <w:t>的客户结算报告显示，</w:t>
      </w:r>
      <w:r>
        <w:rPr>
          <w:rFonts w:hint="eastAsia" w:ascii="仿宋" w:hAnsi="仿宋" w:eastAsia="仿宋"/>
          <w:color w:val="auto"/>
          <w:sz w:val="32"/>
          <w:szCs w:val="32"/>
        </w:rPr>
        <w:t>其</w:t>
      </w:r>
      <w:r>
        <w:rPr>
          <w:rFonts w:ascii="仿宋" w:hAnsi="仿宋" w:eastAsia="仿宋"/>
          <w:color w:val="auto"/>
          <w:sz w:val="32"/>
          <w:szCs w:val="32"/>
        </w:rPr>
        <w:t>持仓焦炭1701合约</w:t>
      </w:r>
      <w:r>
        <w:rPr>
          <w:rFonts w:ascii="仿宋" w:hAnsi="仿宋" w:eastAsia="仿宋"/>
          <w:color w:val="auto"/>
          <w:sz w:val="32"/>
          <w:szCs w:val="32"/>
        </w:rPr>
        <w:t>空单</w:t>
      </w:r>
      <w:r>
        <w:rPr>
          <w:rFonts w:ascii="仿宋" w:hAnsi="仿宋" w:eastAsia="仿宋"/>
          <w:color w:val="auto"/>
          <w:sz w:val="32"/>
          <w:szCs w:val="32"/>
        </w:rPr>
        <w:t>3手，可用资金为-7,519.83元，结算报告中有追加保证金通知书，通知原告在第二天开盘前30分钟补足所需追加的保证金7,519.83元，若不能在规定的时间内补足保证金，被告</w:t>
      </w:r>
      <w:r>
        <w:rPr>
          <w:rFonts w:hint="eastAsia" w:ascii="仿宋" w:hAnsi="仿宋" w:eastAsia="仿宋"/>
          <w:color w:val="auto"/>
          <w:sz w:val="32"/>
          <w:szCs w:val="32"/>
        </w:rPr>
        <w:t>某期货公司</w:t>
      </w:r>
      <w:r>
        <w:rPr>
          <w:rFonts w:ascii="仿宋" w:hAnsi="仿宋" w:eastAsia="仿宋"/>
          <w:color w:val="auto"/>
          <w:sz w:val="32"/>
          <w:szCs w:val="32"/>
        </w:rPr>
        <w:t>将有权对原告的部分或全部头寸进行强平，直到恢复被告公司规定的保证金比例。当日晚间20:53，原告</w:t>
      </w:r>
      <w:r>
        <w:rPr>
          <w:rFonts w:hint="eastAsia" w:ascii="仿宋" w:hAnsi="仿宋" w:eastAsia="仿宋"/>
          <w:color w:val="auto"/>
          <w:sz w:val="32"/>
          <w:szCs w:val="32"/>
        </w:rPr>
        <w:t>倪某</w:t>
      </w:r>
      <w:r>
        <w:rPr>
          <w:rFonts w:ascii="仿宋" w:hAnsi="仿宋" w:eastAsia="仿宋"/>
          <w:color w:val="auto"/>
          <w:sz w:val="32"/>
          <w:szCs w:val="32"/>
        </w:rPr>
        <w:t>登录被告</w:t>
      </w:r>
      <w:r>
        <w:rPr>
          <w:rFonts w:hint="eastAsia" w:ascii="仿宋" w:hAnsi="仿宋" w:eastAsia="仿宋"/>
          <w:color w:val="auto"/>
          <w:sz w:val="32"/>
          <w:szCs w:val="32"/>
        </w:rPr>
        <w:t>某期货公司</w:t>
      </w:r>
      <w:r>
        <w:rPr>
          <w:rFonts w:ascii="仿宋" w:hAnsi="仿宋" w:eastAsia="仿宋"/>
          <w:color w:val="auto"/>
          <w:sz w:val="32"/>
          <w:szCs w:val="32"/>
        </w:rPr>
        <w:t>交易平台，于20:55下达交易指令，委托价格990元／手，但因委托价位不在涨跌幅度内，指令被拒绝。原告于当晚22:01登出，登录期间内，原告曾进入</w:t>
      </w:r>
      <w:r>
        <w:rPr>
          <w:rFonts w:hint="eastAsia" w:ascii="仿宋" w:hAnsi="仿宋" w:eastAsia="仿宋"/>
          <w:color w:val="auto"/>
          <w:sz w:val="32"/>
          <w:szCs w:val="32"/>
        </w:rPr>
        <w:t>“投资者结算单确认查询”页面。</w:t>
      </w:r>
    </w:p>
    <w:p>
      <w:pPr>
        <w:spacing w:beforeLines="0" w:afterLines="0" w:line="560" w:lineRule="exact"/>
        <w:ind w:firstLine="640"/>
        <w:rPr>
          <w:rFonts w:ascii="仿宋" w:hAnsi="仿宋" w:eastAsia="仿宋"/>
          <w:color w:val="auto"/>
          <w:sz w:val="32"/>
          <w:szCs w:val="32"/>
        </w:rPr>
      </w:pPr>
      <w:r>
        <w:rPr>
          <w:rFonts w:ascii="仿宋" w:hAnsi="仿宋" w:eastAsia="仿宋"/>
          <w:color w:val="auto"/>
          <w:sz w:val="32"/>
          <w:szCs w:val="32"/>
        </w:rPr>
        <w:t>2016年4月22日晚21:00夜盘开盘，焦炭1701合约</w:t>
      </w:r>
      <w:r>
        <w:rPr>
          <w:rFonts w:ascii="仿宋" w:hAnsi="仿宋" w:eastAsia="仿宋"/>
          <w:color w:val="auto"/>
          <w:sz w:val="32"/>
          <w:szCs w:val="32"/>
        </w:rPr>
        <w:t>夜盘</w:t>
      </w:r>
      <w:r>
        <w:rPr>
          <w:rFonts w:ascii="仿宋" w:hAnsi="仿宋" w:eastAsia="仿宋"/>
          <w:color w:val="auto"/>
          <w:sz w:val="32"/>
          <w:szCs w:val="32"/>
        </w:rPr>
        <w:t>开盘价为1,070元，后快速上涨，至22:19，焦炭1701合约价格为1,129元，按照被告</w:t>
      </w:r>
      <w:r>
        <w:rPr>
          <w:rFonts w:hint="eastAsia" w:ascii="仿宋" w:hAnsi="仿宋" w:eastAsia="仿宋"/>
          <w:color w:val="auto"/>
          <w:sz w:val="32"/>
          <w:szCs w:val="32"/>
        </w:rPr>
        <w:t>某期货</w:t>
      </w:r>
      <w:r>
        <w:rPr>
          <w:rFonts w:ascii="仿宋" w:hAnsi="仿宋" w:eastAsia="仿宋"/>
          <w:color w:val="auto"/>
          <w:sz w:val="32"/>
          <w:szCs w:val="32"/>
        </w:rPr>
        <w:t>公司的保证金比例15%，原告持仓在此价位所需保证金为50,805元，需追加保证金29,082.33元；按大连商品交易所保证金比例计算，原告持仓保证金应为27,096元，需追加保证金5,374元，交易所风险度为125%。在此情况下，被告于22:20对原告持仓的1手焦炭1701合约执行了强平，成交价1,129.50元。原告被平仓合约买入价为982元，平仓造成原告损失14,750元。</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法院经审理认为，被告某期货公司</w:t>
      </w:r>
      <w:r>
        <w:rPr>
          <w:rFonts w:ascii="仿宋" w:hAnsi="仿宋" w:eastAsia="仿宋"/>
          <w:color w:val="auto"/>
          <w:sz w:val="32"/>
          <w:szCs w:val="32"/>
        </w:rPr>
        <w:t>已经按照法律规定及合同约定及时履行了通知义务</w:t>
      </w:r>
      <w:r>
        <w:rPr>
          <w:rFonts w:hint="eastAsia" w:ascii="仿宋" w:hAnsi="仿宋" w:eastAsia="仿宋"/>
          <w:color w:val="auto"/>
          <w:sz w:val="32"/>
          <w:szCs w:val="32"/>
        </w:rPr>
        <w:t>，在强行平仓的过程中不存在违反法律、合同约定的行为。原告倪某对账户风险未尽到积极注意及管理义务而产生损失，应当自行承担。</w:t>
      </w:r>
    </w:p>
    <w:p>
      <w:pPr>
        <w:pStyle w:val="9"/>
        <w:numPr>
          <w:ilvl w:val="0"/>
          <w:numId w:val="1"/>
        </w:numPr>
        <w:spacing w:beforeLines="0" w:afterLines="0" w:line="560" w:lineRule="exact"/>
        <w:ind w:firstLineChars="0"/>
        <w:rPr>
          <w:rFonts w:ascii="仿宋" w:hAnsi="仿宋" w:eastAsia="仿宋"/>
          <w:b/>
          <w:bCs/>
          <w:color w:val="auto"/>
          <w:sz w:val="32"/>
          <w:szCs w:val="32"/>
        </w:rPr>
      </w:pPr>
      <w:r>
        <w:rPr>
          <w:rFonts w:hint="eastAsia" w:ascii="仿宋" w:hAnsi="仿宋" w:eastAsia="仿宋"/>
          <w:b/>
          <w:bCs/>
          <w:color w:val="auto"/>
          <w:sz w:val="32"/>
          <w:szCs w:val="32"/>
        </w:rPr>
        <w:t>案例评析</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期货交易管理条例》第三十四条第二款规定：“客户保证金不足时，应当及时追加保证金或者自行平仓。客户未在期货公司规定的时间内及时追加保证金或者自行平仓的，期货公司应当将该客户的合约强行平仓，强行平仓的有关费用和发生的损失由该客户承担。”根据《最高人民法院关于审理期货纠纷案件若干问题的规定（一）》第三十六条第二款规定：“客户的交易保证金不足，又未能按期货经纪合同约定的时间追加保证金的，按期货经纪合同的约定处理；约定不明确的，期货公司有权就其未平仓的期货合约强行平仓，强行平仓造成的损失，由客户承担。”</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本案中，原、被告双方签订的《期货经纪合同》系双方真实意思表示，合法有效，双方均应受合同约束。原告倪某</w:t>
      </w:r>
      <w:r>
        <w:rPr>
          <w:rFonts w:ascii="仿宋" w:hAnsi="仿宋" w:eastAsia="仿宋"/>
          <w:color w:val="auto"/>
          <w:sz w:val="32"/>
          <w:szCs w:val="32"/>
        </w:rPr>
        <w:t>作为适格的期货交易投资主体，在被强制平仓前明知账户风险已经达到合同约定的追加保证金条件，应对账户更为谨慎</w:t>
      </w:r>
      <w:r>
        <w:rPr>
          <w:rFonts w:hint="eastAsia" w:ascii="仿宋" w:hAnsi="仿宋" w:eastAsia="仿宋"/>
          <w:color w:val="auto"/>
          <w:sz w:val="32"/>
          <w:szCs w:val="32"/>
        </w:rPr>
        <w:t>注意，并对市场可能出现的相关风险状态有应变的准备，避免账户因风险度过高被强行平仓，但其却在系统提示追加保证金和开市后，未对自己账户风险及时采取应对措施，因此对于被强制平仓造成的损失应自行承担。</w:t>
      </w:r>
    </w:p>
    <w:p>
      <w:pPr>
        <w:spacing w:beforeLines="0" w:afterLines="0" w:line="560" w:lineRule="exact"/>
        <w:ind w:firstLine="640"/>
        <w:rPr>
          <w:rFonts w:ascii="仿宋" w:hAnsi="仿宋" w:eastAsia="仿宋"/>
          <w:color w:val="auto"/>
          <w:sz w:val="32"/>
          <w:szCs w:val="32"/>
        </w:rPr>
      </w:pPr>
      <w:r>
        <w:rPr>
          <w:rFonts w:hint="eastAsia" w:ascii="仿宋" w:hAnsi="仿宋" w:eastAsia="仿宋"/>
          <w:color w:val="auto"/>
          <w:sz w:val="32"/>
          <w:szCs w:val="32"/>
        </w:rPr>
        <w:t>在此提醒广大中小投资者，强行平仓是期货公司根据有关规定，为控制期货交易风险，对投资者的持仓实行平仓的强制措施。期货公司会在《期货经纪合同》中与投资者约定执行强行平仓前的通知方式，除采用“中国期货市场监控中心查询系统”作为主要通知方式外，一般会约定通过电话、短信、交易系统信息、电子邮件、传真、邮寄等方式发出。投资者应及时关注自身账户资金、盈亏、持仓和交易情况，变更联系方式后也应及时告知期货公司，以免造成不必要的损失。</w:t>
      </w:r>
    </w:p>
    <w:p>
      <w:pPr>
        <w:spacing w:before="156" w:after="156" w:line="560" w:lineRule="exact"/>
        <w:ind w:firstLine="480"/>
        <w:rPr>
          <w:color w:val="auto"/>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3322E"/>
    <w:multiLevelType w:val="multilevel"/>
    <w:tmpl w:val="7FC332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56CF"/>
    <w:rsid w:val="000859C3"/>
    <w:rsid w:val="000D368A"/>
    <w:rsid w:val="001B79CC"/>
    <w:rsid w:val="001F0822"/>
    <w:rsid w:val="002421E2"/>
    <w:rsid w:val="00253F74"/>
    <w:rsid w:val="00395C4A"/>
    <w:rsid w:val="00396C58"/>
    <w:rsid w:val="00494AEE"/>
    <w:rsid w:val="004D56CF"/>
    <w:rsid w:val="0050318E"/>
    <w:rsid w:val="00511A5F"/>
    <w:rsid w:val="00627ABA"/>
    <w:rsid w:val="00712378"/>
    <w:rsid w:val="00791C71"/>
    <w:rsid w:val="008509E1"/>
    <w:rsid w:val="009A6DD8"/>
    <w:rsid w:val="00A0328F"/>
    <w:rsid w:val="00B3003B"/>
    <w:rsid w:val="00BF3BF3"/>
    <w:rsid w:val="00D457AE"/>
    <w:rsid w:val="00D80158"/>
    <w:rsid w:val="00E60AB8"/>
    <w:rsid w:val="3876132B"/>
    <w:rsid w:val="58515C91"/>
    <w:rsid w:val="70055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ind w:firstLine="200" w:firstLineChars="200"/>
      <w:jc w:val="both"/>
    </w:pPr>
    <w:rPr>
      <w:rFonts w:eastAsia="宋体" w:asciiTheme="minorHAnsi" w:hAnsiTheme="minorHAnsi" w:cstheme="minorBidi"/>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eastAsia="宋体"/>
      <w:sz w:val="18"/>
      <w:szCs w:val="18"/>
    </w:rPr>
  </w:style>
  <w:style w:type="character" w:customStyle="1" w:styleId="8">
    <w:name w:val="页脚 Char"/>
    <w:basedOn w:val="6"/>
    <w:link w:val="3"/>
    <w:qFormat/>
    <w:uiPriority w:val="99"/>
    <w:rPr>
      <w:rFonts w:eastAsia="宋体"/>
      <w:sz w:val="18"/>
      <w:szCs w:val="18"/>
    </w:rPr>
  </w:style>
  <w:style w:type="paragraph" w:styleId="9">
    <w:name w:val="List Paragraph"/>
    <w:basedOn w:val="1"/>
    <w:qFormat/>
    <w:uiPriority w:val="34"/>
    <w:pPr>
      <w:ind w:firstLine="420"/>
    </w:pPr>
  </w:style>
  <w:style w:type="character" w:customStyle="1" w:styleId="10">
    <w:name w:val="批注框文本 Char"/>
    <w:basedOn w:val="6"/>
    <w:link w:val="2"/>
    <w:semiHidden/>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1523</Characters>
  <Lines>12</Lines>
  <Paragraphs>3</Paragraphs>
  <TotalTime>12</TotalTime>
  <ScaleCrop>false</ScaleCrop>
  <LinksUpToDate>false</LinksUpToDate>
  <CharactersWithSpaces>1787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2020-04-08T03:07:00Z</dcterms:created>
  <dc:creator>晓 籁</dc:creator>
  <cp:lastModifiedBy>Nancy</cp:lastModifiedBy>
  <dcterms:modified xsi:type="dcterms:W3CDTF">2020-04-19T08:44:50Z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